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4EE62" w14:textId="77777777" w:rsidR="007846E3" w:rsidRPr="00436FD3" w:rsidRDefault="007846E3" w:rsidP="007846E3">
      <w:pPr>
        <w:spacing w:line="480" w:lineRule="atLeast"/>
        <w:jc w:val="center"/>
      </w:pPr>
    </w:p>
    <w:p w14:paraId="4A4A2641" w14:textId="77777777" w:rsidR="007846E3" w:rsidRDefault="007846E3" w:rsidP="007846E3">
      <w:pPr>
        <w:pStyle w:val="Funotentext"/>
        <w:spacing w:line="360" w:lineRule="auto"/>
        <w:jc w:val="center"/>
        <w:outlineLvl w:val="0"/>
        <w:rPr>
          <w:lang w:val="en-US"/>
        </w:rPr>
      </w:pPr>
      <w:r w:rsidRPr="007334FE">
        <w:rPr>
          <w:lang w:val="en-US"/>
        </w:rPr>
        <w:t>Matthias Schirn</w:t>
      </w:r>
    </w:p>
    <w:p w14:paraId="19AA60CF" w14:textId="77777777" w:rsidR="007846E3" w:rsidRPr="004D72E3" w:rsidRDefault="007846E3" w:rsidP="007846E3">
      <w:pPr>
        <w:widowControl w:val="0"/>
        <w:autoSpaceDE w:val="0"/>
        <w:autoSpaceDN w:val="0"/>
        <w:adjustRightInd w:val="0"/>
        <w:spacing w:after="240"/>
        <w:jc w:val="center"/>
        <w:rPr>
          <w:rFonts w:cs="Times"/>
          <w:szCs w:val="24"/>
        </w:rPr>
      </w:pPr>
      <w:r w:rsidRPr="004D72E3">
        <w:rPr>
          <w:rFonts w:ascii="Times New Roman" w:hAnsi="Times New Roman"/>
          <w:szCs w:val="24"/>
        </w:rPr>
        <w:t> Munich Center for Mathematical Philosophy (LMU)</w:t>
      </w:r>
    </w:p>
    <w:p w14:paraId="3850ACD5" w14:textId="77777777" w:rsidR="007846E3" w:rsidRPr="007334FE" w:rsidRDefault="007846E3" w:rsidP="007846E3">
      <w:pPr>
        <w:pStyle w:val="Funotentext"/>
        <w:spacing w:line="360" w:lineRule="auto"/>
        <w:jc w:val="center"/>
        <w:outlineLvl w:val="0"/>
        <w:rPr>
          <w:lang w:val="en-US"/>
        </w:rPr>
      </w:pPr>
    </w:p>
    <w:p w14:paraId="0A0333BC" w14:textId="77777777" w:rsidR="007846E3" w:rsidRPr="007846E3" w:rsidRDefault="007846E3" w:rsidP="007846E3">
      <w:pPr>
        <w:pStyle w:val="Funotentext"/>
        <w:spacing w:line="360" w:lineRule="auto"/>
        <w:jc w:val="center"/>
        <w:rPr>
          <w:b/>
          <w:lang w:val="en-US"/>
        </w:rPr>
      </w:pPr>
      <w:r w:rsidRPr="004D72E3">
        <w:rPr>
          <w:b/>
          <w:lang w:val="en-US"/>
        </w:rPr>
        <w:t>SECOND-ORDER ABSTRACTION BEFORE AND AFTER RUSSELL’S PARADOX</w:t>
      </w:r>
    </w:p>
    <w:p w14:paraId="37E46A4C" w14:textId="77777777" w:rsidR="007846E3" w:rsidRDefault="007846E3" w:rsidP="007846E3">
      <w:pPr>
        <w:jc w:val="both"/>
        <w:rPr>
          <w:lang w:val="en-US"/>
        </w:rPr>
      </w:pPr>
      <w:bookmarkStart w:id="0" w:name="_GoBack"/>
      <w:bookmarkEnd w:id="0"/>
      <w:r w:rsidRPr="00F72480">
        <w:rPr>
          <w:b/>
          <w:color w:val="000000"/>
          <w:szCs w:val="24"/>
        </w:rPr>
        <w:t>Abstract</w:t>
      </w:r>
      <w:r>
        <w:rPr>
          <w:color w:val="000000"/>
          <w:szCs w:val="24"/>
        </w:rPr>
        <w:t xml:space="preserve">  In this talk</w:t>
      </w:r>
      <w:r w:rsidRPr="00F72480">
        <w:rPr>
          <w:color w:val="000000"/>
          <w:szCs w:val="24"/>
        </w:rPr>
        <w:t>, I analyze several aspects of Frege’s paradigms of second-order abstraction: Axiom V and Hume’s Principle. The issues dealt with include self-evidence and epistemic (non-)triviality with particular emphasis on Axiom V, Frege’s attitude towards Axiom V before and after Russell’s discovery of the contradiction, as well as the possible role and the status of Hume’s Prin</w:t>
      </w:r>
      <w:r>
        <w:rPr>
          <w:color w:val="000000"/>
          <w:szCs w:val="24"/>
        </w:rPr>
        <w:t>ciple in the face of Russell’s P</w:t>
      </w:r>
      <w:r w:rsidRPr="00F72480">
        <w:rPr>
          <w:color w:val="000000"/>
          <w:szCs w:val="24"/>
        </w:rPr>
        <w:t xml:space="preserve">aradox. In the central part, I  pursue a threefold aim: (a) to shed new light on the connection between Frege’s way of introducing the primitive function-names of his logical system and the requisite self-evidence of his axioms in whose expression such a function-name occurs; (b) to analyze the semantic nature of the (formal) linguistic expression of Axiom V, and (c) to examine the conflict between the requirements of self-evidence and real epistemic value or genuine knowledge arising inevitably and invariably from Fregean abstraction principles, if they are singled out as axioms of a theory </w:t>
      </w:r>
      <w:r w:rsidRPr="00F72480">
        <w:rPr>
          <w:i/>
          <w:color w:val="000000"/>
          <w:szCs w:val="24"/>
        </w:rPr>
        <w:t>T</w:t>
      </w:r>
      <w:r w:rsidRPr="00F7248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</w:p>
    <w:p w14:paraId="50CEA586" w14:textId="77777777" w:rsidR="007846E3" w:rsidRDefault="007846E3" w:rsidP="007846E3">
      <w:pPr>
        <w:jc w:val="both"/>
        <w:rPr>
          <w:b/>
        </w:rPr>
      </w:pPr>
    </w:p>
    <w:p w14:paraId="22B0DD33" w14:textId="77777777" w:rsidR="007846E3" w:rsidRPr="00436FD3" w:rsidRDefault="007846E3" w:rsidP="007846E3">
      <w:pPr>
        <w:spacing w:line="480" w:lineRule="atLeast"/>
        <w:jc w:val="both"/>
        <w:rPr>
          <w:b/>
        </w:rPr>
      </w:pPr>
      <w:r w:rsidRPr="00436FD3">
        <w:rPr>
          <w:b/>
        </w:rPr>
        <w:t xml:space="preserve">Logical Abstraction </w:t>
      </w:r>
    </w:p>
    <w:p w14:paraId="7622A6FF" w14:textId="77777777" w:rsidR="007846E3" w:rsidRDefault="007846E3" w:rsidP="007846E3">
      <w:pPr>
        <w:jc w:val="both"/>
      </w:pPr>
      <w:r>
        <w:t>A schema for a Fregean abstraction principle can be stated as follows:</w:t>
      </w:r>
    </w:p>
    <w:p w14:paraId="2A6D6AB1" w14:textId="77777777" w:rsidR="007846E3" w:rsidRDefault="007846E3" w:rsidP="007846E3">
      <w:pPr>
        <w:jc w:val="both"/>
      </w:pPr>
    </w:p>
    <w:p w14:paraId="42A2CB10" w14:textId="77777777" w:rsidR="007846E3" w:rsidRDefault="007846E3" w:rsidP="007846E3">
      <w:pPr>
        <w:jc w:val="both"/>
      </w:pPr>
      <w:r>
        <w:tab/>
        <w:t>(S) Q(</w:t>
      </w:r>
      <w:r>
        <w:rPr>
          <w:rFonts w:ascii="Symbol" w:hAnsi="Symbol"/>
        </w:rPr>
        <w:t></w:t>
      </w:r>
      <w:r>
        <w:t>) = Q(</w:t>
      </w:r>
      <w:r>
        <w:rPr>
          <w:rFonts w:ascii="Symbol" w:hAnsi="Symbol"/>
        </w:rPr>
        <w:t></w:t>
      </w:r>
      <w:r>
        <w:t xml:space="preserve">) </w:t>
      </w:r>
      <w:r>
        <w:rPr>
          <w:rFonts w:ascii="Symbol" w:hAnsi="Symbol"/>
        </w:rPr>
        <w:t></w:t>
      </w:r>
      <w:r>
        <w:t xml:space="preserve">  R</w:t>
      </w:r>
      <w:r>
        <w:rPr>
          <w:position w:val="-4"/>
          <w:sz w:val="20"/>
        </w:rPr>
        <w:t>eq</w:t>
      </w:r>
      <w:r>
        <w:t>(</w:t>
      </w:r>
      <w:r>
        <w:rPr>
          <w:rFonts w:ascii="Symbol" w:hAnsi="Symbol"/>
        </w:rPr>
        <w:t></w:t>
      </w:r>
      <w:r>
        <w:t xml:space="preserve">, </w:t>
      </w:r>
      <w:r>
        <w:rPr>
          <w:rFonts w:ascii="Symbol" w:hAnsi="Symbol"/>
        </w:rPr>
        <w:t></w:t>
      </w:r>
      <w:r>
        <w:t xml:space="preserve">). </w:t>
      </w:r>
    </w:p>
    <w:p w14:paraId="7A54F894" w14:textId="77777777" w:rsidR="007846E3" w:rsidRDefault="007846E3" w:rsidP="007846E3">
      <w:pPr>
        <w:jc w:val="both"/>
      </w:pPr>
    </w:p>
    <w:p w14:paraId="28D148D1" w14:textId="77777777" w:rsidR="007846E3" w:rsidRDefault="007846E3" w:rsidP="007846E3">
      <w:pPr>
        <w:jc w:val="both"/>
      </w:pPr>
      <w:r>
        <w:t xml:space="preserve">Here "Q" is a singular term-forming operator, </w:t>
      </w:r>
      <w:r>
        <w:rPr>
          <w:rFonts w:ascii="Symbol" w:hAnsi="Symbol"/>
        </w:rPr>
        <w:t></w:t>
      </w:r>
      <w:r>
        <w:t xml:space="preserve"> and </w:t>
      </w:r>
      <w:r>
        <w:rPr>
          <w:rFonts w:ascii="Symbol" w:hAnsi="Symbol"/>
        </w:rPr>
        <w:t></w:t>
      </w:r>
      <w:r>
        <w:t xml:space="preserve"> are free variables of the appropriate type, ranging over the members of a given domain, and "R</w:t>
      </w:r>
      <w:r>
        <w:rPr>
          <w:position w:val="-4"/>
          <w:sz w:val="20"/>
        </w:rPr>
        <w:t>eq</w:t>
      </w:r>
      <w:r>
        <w:t xml:space="preserve">" is the sign for an equivalence relation holding between the values of </w:t>
      </w:r>
      <w:r>
        <w:rPr>
          <w:rFonts w:ascii="Symbol" w:hAnsi="Symbol"/>
        </w:rPr>
        <w:t></w:t>
      </w:r>
      <w:r>
        <w:t xml:space="preserve"> and </w:t>
      </w:r>
      <w:r>
        <w:rPr>
          <w:rFonts w:ascii="Symbol" w:hAnsi="Symbol"/>
        </w:rPr>
        <w:t></w:t>
      </w:r>
      <w:r>
        <w:t xml:space="preserve">. In </w:t>
      </w:r>
      <w:r w:rsidRPr="0032350F">
        <w:rPr>
          <w:i/>
        </w:rPr>
        <w:t>Grundlagen,</w:t>
      </w:r>
      <w:r>
        <w:t xml:space="preserve"> the paradigm for second-order Fregean abstraction is:</w:t>
      </w:r>
    </w:p>
    <w:p w14:paraId="7FE347EC" w14:textId="77777777" w:rsidR="007846E3" w:rsidRDefault="007846E3" w:rsidP="007846E3">
      <w:pPr>
        <w:jc w:val="both"/>
      </w:pPr>
    </w:p>
    <w:p w14:paraId="4D4B2C4F" w14:textId="77777777" w:rsidR="007846E3" w:rsidRDefault="007846E3" w:rsidP="007846E3">
      <w:pPr>
        <w:pStyle w:val="Listenabsatz"/>
        <w:numPr>
          <w:ilvl w:val="0"/>
          <w:numId w:val="1"/>
        </w:numPr>
        <w:jc w:val="both"/>
      </w:pPr>
      <w:r>
        <w:t>N</w:t>
      </w:r>
      <w:r w:rsidRPr="000033DA">
        <w:rPr>
          <w:position w:val="-4"/>
          <w:sz w:val="20"/>
        </w:rPr>
        <w:t>x</w:t>
      </w:r>
      <w:r>
        <w:t>F(x) = N</w:t>
      </w:r>
      <w:r w:rsidRPr="000033DA">
        <w:rPr>
          <w:position w:val="-4"/>
          <w:sz w:val="20"/>
        </w:rPr>
        <w:t>x</w:t>
      </w:r>
      <w:r>
        <w:t xml:space="preserve">G(x) </w:t>
      </w:r>
      <w:r w:rsidRPr="000033DA">
        <w:rPr>
          <w:rFonts w:ascii="Symbol" w:hAnsi="Symbol"/>
        </w:rPr>
        <w:t></w:t>
      </w:r>
      <w:r w:rsidRPr="000033DA">
        <w:rPr>
          <w:rFonts w:ascii="Symbol" w:hAnsi="Symbol"/>
        </w:rPr>
        <w:t></w:t>
      </w:r>
      <w:r>
        <w:t>E</w:t>
      </w:r>
      <w:r w:rsidRPr="000033DA">
        <w:rPr>
          <w:position w:val="-4"/>
          <w:sz w:val="20"/>
        </w:rPr>
        <w:t>x</w:t>
      </w:r>
      <w:r>
        <w:t>(F(x),G(x)).</w:t>
      </w:r>
    </w:p>
    <w:p w14:paraId="57EFAB0A" w14:textId="77777777" w:rsidR="007846E3" w:rsidRDefault="007846E3" w:rsidP="007846E3">
      <w:pPr>
        <w:ind w:left="700"/>
        <w:jc w:val="both"/>
      </w:pPr>
    </w:p>
    <w:p w14:paraId="20817E65" w14:textId="77777777" w:rsidR="007846E3" w:rsidRDefault="007846E3" w:rsidP="007846E3">
      <w:pPr>
        <w:jc w:val="both"/>
      </w:pPr>
      <w:r>
        <w:t xml:space="preserve">The number of Fs is identical with the number Gs if and only if F and G are equinumerous, i.e., according to Frege's definition of equinumerosity in §72 of </w:t>
      </w:r>
      <w:r w:rsidRPr="0032350F">
        <w:rPr>
          <w:i/>
        </w:rPr>
        <w:t>Grundlagen</w:t>
      </w:r>
      <w:r>
        <w:t xml:space="preserve">: if and only if there is a relation R that correlates one-to-one the Fs and the Gs. As usual, I shall refer to this principle as </w:t>
      </w:r>
      <w:r w:rsidRPr="004D72E3">
        <w:rPr>
          <w:i/>
        </w:rPr>
        <w:t>Hume's Principle</w:t>
      </w:r>
      <w:r>
        <w:t>.</w:t>
      </w:r>
    </w:p>
    <w:p w14:paraId="22DAA16A" w14:textId="77777777" w:rsidR="007846E3" w:rsidRDefault="007846E3" w:rsidP="007846E3">
      <w:pPr>
        <w:jc w:val="both"/>
        <w:outlineLvl w:val="0"/>
      </w:pPr>
      <w:r>
        <w:t xml:space="preserve">In </w:t>
      </w:r>
      <w:r w:rsidRPr="0032350F">
        <w:rPr>
          <w:i/>
        </w:rPr>
        <w:t>Grundgesetze</w:t>
      </w:r>
      <w:r>
        <w:t>, the paradigm of abstraction is</w:t>
      </w:r>
    </w:p>
    <w:p w14:paraId="386F263E" w14:textId="77777777" w:rsidR="007846E3" w:rsidRDefault="007846E3" w:rsidP="007846E3">
      <w:pPr>
        <w:jc w:val="both"/>
        <w:rPr>
          <w:position w:val="6"/>
          <w:sz w:val="18"/>
        </w:rPr>
      </w:pPr>
      <w:r>
        <w:tab/>
        <w:t xml:space="preserve">(2) </w:t>
      </w:r>
      <w:r w:rsidRPr="0032350F">
        <w:rPr>
          <w:position w:val="-2"/>
        </w:rPr>
        <w:object w:dxaOrig="140" w:dyaOrig="360" w14:anchorId="445237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pt;height:22pt" o:ole="">
            <v:imagedata r:id="rId8" o:title=""/>
          </v:shape>
          <o:OLEObject Type="Embed" ProgID="Equation.3" ShapeID="_x0000_i1029" DrawAspect="Content" ObjectID="_1442067596" r:id="rId9"/>
        </w:object>
      </w:r>
      <w:r>
        <w:t>f(</w:t>
      </w:r>
      <w:r>
        <w:rPr>
          <w:rFonts w:ascii="Symbol" w:hAnsi="Symbol"/>
        </w:rPr>
        <w:t></w:t>
      </w:r>
      <w:r>
        <w:t xml:space="preserve">) = </w:t>
      </w:r>
      <w:r>
        <w:rPr>
          <w:position w:val="-2"/>
        </w:rPr>
        <w:object w:dxaOrig="200" w:dyaOrig="360" w14:anchorId="211B40C5">
          <v:shape id="_x0000_i1030" type="#_x0000_t75" style="width:10pt;height:18pt" o:ole="">
            <v:imagedata r:id="rId10" o:title=""/>
          </v:shape>
          <o:OLEObject Type="Embed" ProgID="Equation.3" ShapeID="_x0000_i1030" DrawAspect="Content" ObjectID="_1442067597" r:id="rId11"/>
        </w:object>
      </w:r>
      <w:r>
        <w:t>g(</w:t>
      </w:r>
      <w:r>
        <w:rPr>
          <w:rFonts w:ascii="Symbol" w:hAnsi="Symbol"/>
        </w:rPr>
        <w:t></w:t>
      </w:r>
      <w:r>
        <w:t xml:space="preserve">) </w:t>
      </w:r>
      <w:r>
        <w:rPr>
          <w:rFonts w:ascii="Symbol" w:hAnsi="Symbol"/>
        </w:rPr>
        <w:t></w:t>
      </w:r>
      <w:r>
        <w:rPr>
          <w:rFonts w:ascii="Symbol" w:hAnsi="Symbol"/>
        </w:rPr>
        <w:t></w:t>
      </w:r>
      <w:r>
        <w:rPr>
          <w:rFonts w:ascii="Symbol" w:hAnsi="Symbol"/>
        </w:rPr>
        <w:t></w:t>
      </w:r>
      <w:r>
        <w:t xml:space="preserve">x(f(x) </w:t>
      </w:r>
      <w:r>
        <w:rPr>
          <w:rFonts w:ascii="Symbol" w:hAnsi="Symbol"/>
        </w:rPr>
        <w:t></w:t>
      </w:r>
      <w:r>
        <w:rPr>
          <w:rFonts w:ascii="Symbol" w:hAnsi="Symbol"/>
        </w:rPr>
        <w:t></w:t>
      </w:r>
      <w:r>
        <w:t>g(x)).</w:t>
      </w:r>
    </w:p>
    <w:p w14:paraId="1B1ADDFC" w14:textId="77777777" w:rsidR="007846E3" w:rsidRDefault="007846E3" w:rsidP="007846E3">
      <w:pPr>
        <w:jc w:val="both"/>
      </w:pPr>
    </w:p>
    <w:p w14:paraId="70C2CEA2" w14:textId="77777777" w:rsidR="007846E3" w:rsidRDefault="007846E3" w:rsidP="007846E3">
      <w:pPr>
        <w:jc w:val="both"/>
      </w:pPr>
      <w:r>
        <w:t>The value-range of the function f is identical with the value-range of the function g if and only if f and g are coextensive.</w:t>
      </w:r>
    </w:p>
    <w:p w14:paraId="7C7DFEA1" w14:textId="77777777" w:rsidR="007846E3" w:rsidRDefault="007846E3" w:rsidP="007846E3">
      <w:r>
        <w:t xml:space="preserve">(2) is the famous-infamous Axiom V of Frege’s logical system in </w:t>
      </w:r>
      <w:r w:rsidRPr="0032350F">
        <w:rPr>
          <w:i/>
        </w:rPr>
        <w:t>Grundgesetze</w:t>
      </w:r>
      <w:r>
        <w:t>,</w:t>
      </w:r>
      <w:r>
        <w:rPr>
          <w:i/>
        </w:rPr>
        <w:t xml:space="preserve"> </w:t>
      </w:r>
      <w:r>
        <w:t xml:space="preserve">the structural analogue of (1) . </w:t>
      </w:r>
    </w:p>
    <w:p w14:paraId="089E6858" w14:textId="77777777" w:rsidR="007846E3" w:rsidRDefault="007846E3" w:rsidP="007846E3">
      <w:pPr>
        <w:jc w:val="both"/>
      </w:pPr>
    </w:p>
    <w:p w14:paraId="4015A334" w14:textId="77777777" w:rsidR="007846E3" w:rsidRPr="007334FE" w:rsidRDefault="007846E3" w:rsidP="007846E3">
      <w:pPr>
        <w:jc w:val="both"/>
      </w:pPr>
      <w:r>
        <w:t>Just in case, h</w:t>
      </w:r>
      <w:r w:rsidRPr="007334FE">
        <w:t xml:space="preserve">ere </w:t>
      </w:r>
      <w:r>
        <w:t>is a</w:t>
      </w:r>
      <w:r w:rsidRPr="007334FE">
        <w:t xml:space="preserve"> </w:t>
      </w:r>
      <w:r>
        <w:t>passage from</w:t>
      </w:r>
      <w:r w:rsidRPr="007334FE">
        <w:t xml:space="preserve"> Frege’s letter</w:t>
      </w:r>
      <w:r>
        <w:t xml:space="preserve"> to Russell </w:t>
      </w:r>
      <w:r w:rsidRPr="007334FE">
        <w:t>of 28</w:t>
      </w:r>
      <w:r w:rsidRPr="007334FE">
        <w:rPr>
          <w:vertAlign w:val="superscript"/>
        </w:rPr>
        <w:t>th</w:t>
      </w:r>
      <w:r w:rsidRPr="007334FE">
        <w:t xml:space="preserve"> July 1902 </w:t>
      </w:r>
      <w:r>
        <w:t>which is relevant for my topic. If time allows, I might discuss the passage.</w:t>
      </w:r>
    </w:p>
    <w:p w14:paraId="1922D450" w14:textId="77777777" w:rsidR="007846E3" w:rsidRDefault="007846E3" w:rsidP="007846E3">
      <w:pPr>
        <w:ind w:left="567"/>
        <w:jc w:val="both"/>
      </w:pPr>
      <w:r w:rsidRPr="007334FE">
        <w:t xml:space="preserve">I myself was long reluctant to acknowledge value-ranges and hence classes; but I saw no other possibility of placing arithmetic on a logical foundation. But the question is: </w:t>
      </w:r>
      <w:r w:rsidRPr="007334FE">
        <w:lastRenderedPageBreak/>
        <w:t xml:space="preserve">How do we grasp logical objects? And I have found no other answer to it than this: We grasp them as extensions of concepts, or more generally, as value-ranges of functions. I have always been aware that there are difficulties connected with this, and your discovery of the contradiction has added to them; but what other way is there?... We can also try to help ourselves in the following way [Man kann sich auch so zu helfen suchen] and I hinted at this in my </w:t>
      </w:r>
      <w:r w:rsidRPr="007334FE">
        <w:rPr>
          <w:i/>
        </w:rPr>
        <w:t>Grundlagen der Arithmetik</w:t>
      </w:r>
      <w:r w:rsidRPr="007334FE">
        <w:t xml:space="preserve">. If we have a relation </w:t>
      </w:r>
      <w:r w:rsidRPr="007334FE">
        <w:rPr>
          <w:rFonts w:ascii="Symbol" w:hAnsi="Symbol"/>
          <w:i/>
        </w:rPr>
        <w:t></w:t>
      </w:r>
      <w:r w:rsidRPr="007334FE">
        <w:rPr>
          <w:rFonts w:ascii="Symbol" w:hAnsi="Symbol"/>
        </w:rPr>
        <w:t></w:t>
      </w:r>
      <w:r w:rsidRPr="007334FE">
        <w:rPr>
          <w:rFonts w:ascii="Symbol" w:hAnsi="Symbol"/>
          <w:i/>
        </w:rPr>
        <w:t></w:t>
      </w:r>
      <w:r w:rsidRPr="007334FE">
        <w:rPr>
          <w:rFonts w:ascii="Symbol" w:hAnsi="Symbol"/>
        </w:rPr>
        <w:t></w:t>
      </w:r>
      <w:r w:rsidRPr="007334FE">
        <w:rPr>
          <w:rFonts w:ascii="Symbol" w:hAnsi="Symbol"/>
        </w:rPr>
        <w:t></w:t>
      </w:r>
      <w:r w:rsidRPr="007334FE">
        <w:rPr>
          <w:rFonts w:ascii="Symbol" w:hAnsi="Symbol"/>
          <w:i/>
        </w:rPr>
        <w:t></w:t>
      </w:r>
      <w:r w:rsidRPr="007334FE">
        <w:t xml:space="preserve">) for which the following sentences hold: 1. from </w:t>
      </w:r>
      <w:r w:rsidRPr="007334FE">
        <w:rPr>
          <w:rFonts w:ascii="Symbol" w:hAnsi="Symbol"/>
          <w:i/>
        </w:rPr>
        <w:t></w:t>
      </w:r>
      <w:r w:rsidRPr="007334FE">
        <w:rPr>
          <w:rFonts w:ascii="Symbol" w:hAnsi="Symbol"/>
        </w:rPr>
        <w:t></w:t>
      </w:r>
      <w:r w:rsidRPr="007334FE">
        <w:rPr>
          <w:i/>
        </w:rPr>
        <w:t>a</w:t>
      </w:r>
      <w:r w:rsidRPr="007334FE">
        <w:t>,</w:t>
      </w:r>
      <w:r>
        <w:t xml:space="preserve"> </w:t>
      </w:r>
      <w:r w:rsidRPr="007334FE">
        <w:rPr>
          <w:i/>
        </w:rPr>
        <w:t>b</w:t>
      </w:r>
      <w:r w:rsidRPr="007334FE">
        <w:t xml:space="preserve">) follows </w:t>
      </w:r>
      <w:r w:rsidRPr="007334FE">
        <w:rPr>
          <w:rFonts w:ascii="Symbol" w:hAnsi="Symbol"/>
          <w:i/>
        </w:rPr>
        <w:t></w:t>
      </w:r>
      <w:r w:rsidRPr="007334FE">
        <w:rPr>
          <w:rFonts w:ascii="Symbol" w:hAnsi="Symbol"/>
          <w:i/>
        </w:rPr>
        <w:t></w:t>
      </w:r>
      <w:r w:rsidRPr="007334FE">
        <w:rPr>
          <w:i/>
        </w:rPr>
        <w:t>b</w:t>
      </w:r>
      <w:r w:rsidRPr="007334FE">
        <w:t xml:space="preserve">, </w:t>
      </w:r>
      <w:r w:rsidRPr="007334FE">
        <w:rPr>
          <w:i/>
        </w:rPr>
        <w:t>a</w:t>
      </w:r>
      <w:r w:rsidRPr="007334FE">
        <w:t xml:space="preserve">); 2. from </w:t>
      </w:r>
      <w:r w:rsidRPr="007334FE">
        <w:rPr>
          <w:rFonts w:ascii="Symbol" w:hAnsi="Symbol"/>
          <w:i/>
        </w:rPr>
        <w:t></w:t>
      </w:r>
      <w:r w:rsidRPr="007334FE">
        <w:rPr>
          <w:rFonts w:ascii="Symbol" w:hAnsi="Symbol"/>
        </w:rPr>
        <w:t></w:t>
      </w:r>
      <w:r w:rsidRPr="007334FE">
        <w:rPr>
          <w:i/>
        </w:rPr>
        <w:t>a</w:t>
      </w:r>
      <w:r w:rsidRPr="007334FE">
        <w:t xml:space="preserve">, </w:t>
      </w:r>
      <w:r w:rsidRPr="007334FE">
        <w:rPr>
          <w:i/>
        </w:rPr>
        <w:t>b</w:t>
      </w:r>
      <w:r w:rsidRPr="007334FE">
        <w:t xml:space="preserve">) and </w:t>
      </w:r>
      <w:r w:rsidRPr="007334FE">
        <w:rPr>
          <w:rFonts w:ascii="Symbol" w:hAnsi="Symbol"/>
          <w:i/>
        </w:rPr>
        <w:t></w:t>
      </w:r>
      <w:r w:rsidRPr="007334FE">
        <w:rPr>
          <w:rFonts w:ascii="Symbol" w:hAnsi="Symbol"/>
        </w:rPr>
        <w:t></w:t>
      </w:r>
      <w:r w:rsidRPr="007334FE">
        <w:rPr>
          <w:i/>
        </w:rPr>
        <w:t>b</w:t>
      </w:r>
      <w:r w:rsidRPr="007334FE">
        <w:t xml:space="preserve">, </w:t>
      </w:r>
      <w:r w:rsidRPr="007334FE">
        <w:rPr>
          <w:i/>
        </w:rPr>
        <w:t>c</w:t>
      </w:r>
      <w:r w:rsidRPr="007334FE">
        <w:t xml:space="preserve">) follows </w:t>
      </w:r>
      <w:r w:rsidRPr="007334FE">
        <w:rPr>
          <w:rFonts w:ascii="Symbol" w:hAnsi="Symbol"/>
          <w:i/>
        </w:rPr>
        <w:t></w:t>
      </w:r>
      <w:r w:rsidRPr="007334FE">
        <w:rPr>
          <w:rFonts w:ascii="Symbol" w:hAnsi="Symbol"/>
        </w:rPr>
        <w:t></w:t>
      </w:r>
      <w:r w:rsidRPr="007334FE">
        <w:rPr>
          <w:i/>
        </w:rPr>
        <w:t>a</w:t>
      </w:r>
      <w:r w:rsidRPr="007334FE">
        <w:t>,</w:t>
      </w:r>
      <w:r>
        <w:t xml:space="preserve"> </w:t>
      </w:r>
      <w:r w:rsidRPr="007334FE">
        <w:rPr>
          <w:i/>
        </w:rPr>
        <w:t>c</w:t>
      </w:r>
      <w:r w:rsidRPr="007334FE">
        <w:t xml:space="preserve">), then this relation can be transformed into an equality (identity), and </w:t>
      </w:r>
      <w:r w:rsidRPr="007334FE">
        <w:rPr>
          <w:rFonts w:ascii="Symbol" w:hAnsi="Symbol"/>
          <w:i/>
        </w:rPr>
        <w:t></w:t>
      </w:r>
      <w:r w:rsidRPr="007334FE">
        <w:rPr>
          <w:rFonts w:ascii="Symbol" w:hAnsi="Symbol"/>
        </w:rPr>
        <w:t></w:t>
      </w:r>
      <w:r w:rsidRPr="007334FE">
        <w:rPr>
          <w:i/>
        </w:rPr>
        <w:t>a</w:t>
      </w:r>
      <w:r w:rsidRPr="007334FE">
        <w:t xml:space="preserve">, </w:t>
      </w:r>
      <w:r w:rsidRPr="007334FE">
        <w:rPr>
          <w:i/>
        </w:rPr>
        <w:t>b</w:t>
      </w:r>
      <w:r w:rsidRPr="007334FE">
        <w:t>) can be replaced by saying, e.g., §</w:t>
      </w:r>
      <w:r w:rsidRPr="007334FE">
        <w:rPr>
          <w:i/>
        </w:rPr>
        <w:t>a</w:t>
      </w:r>
      <w:r w:rsidRPr="007334FE">
        <w:t xml:space="preserve"> = §</w:t>
      </w:r>
      <w:r w:rsidRPr="007334FE">
        <w:rPr>
          <w:i/>
        </w:rPr>
        <w:t>b</w:t>
      </w:r>
      <w:r w:rsidRPr="007334FE">
        <w:t>. If the relation is that of geometrical similarity, then for “</w:t>
      </w:r>
      <w:r w:rsidRPr="007334FE">
        <w:rPr>
          <w:i/>
        </w:rPr>
        <w:t>a</w:t>
      </w:r>
      <w:r w:rsidRPr="007334FE">
        <w:t xml:space="preserve"> is similar to </w:t>
      </w:r>
      <w:r w:rsidRPr="007334FE">
        <w:rPr>
          <w:i/>
        </w:rPr>
        <w:t>b</w:t>
      </w:r>
      <w:r w:rsidRPr="007334FE">
        <w:t xml:space="preserve">” we can say “the shape of </w:t>
      </w:r>
      <w:r w:rsidRPr="007334FE">
        <w:rPr>
          <w:i/>
        </w:rPr>
        <w:t>a</w:t>
      </w:r>
      <w:r w:rsidRPr="007334FE">
        <w:t xml:space="preserve"> is the same as the shape of </w:t>
      </w:r>
      <w:r w:rsidRPr="007334FE">
        <w:rPr>
          <w:i/>
        </w:rPr>
        <w:t>b</w:t>
      </w:r>
      <w:r w:rsidRPr="007334FE">
        <w:t>”. This is perhaps what you call “définition par abstraction”. But the difficulties here are the same as in the transformation of a generality of an equality into a value-range equality.</w:t>
      </w:r>
    </w:p>
    <w:p w14:paraId="6837D368" w14:textId="77777777" w:rsidR="007846E3" w:rsidRDefault="007846E3" w:rsidP="007846E3">
      <w:pPr>
        <w:ind w:left="567"/>
        <w:jc w:val="both"/>
      </w:pPr>
    </w:p>
    <w:p w14:paraId="40B62E86" w14:textId="77777777" w:rsidR="007846E3" w:rsidRDefault="007846E3" w:rsidP="007846E3">
      <w:pPr>
        <w:jc w:val="both"/>
        <w:rPr>
          <w:b/>
        </w:rPr>
      </w:pPr>
    </w:p>
    <w:p w14:paraId="28239A2E" w14:textId="77777777" w:rsidR="007846E3" w:rsidRDefault="007846E3" w:rsidP="007846E3">
      <w:pPr>
        <w:jc w:val="both"/>
        <w:rPr>
          <w:b/>
          <w:color w:val="000000"/>
          <w:szCs w:val="24"/>
        </w:rPr>
      </w:pPr>
      <w:r w:rsidRPr="007334FE">
        <w:rPr>
          <w:b/>
          <w:color w:val="000000"/>
          <w:szCs w:val="24"/>
        </w:rPr>
        <w:t xml:space="preserve">The choice of an abstraction principle as an axiom of a theory </w:t>
      </w:r>
      <w:r w:rsidRPr="007334FE">
        <w:rPr>
          <w:b/>
          <w:i/>
          <w:color w:val="000000"/>
          <w:szCs w:val="24"/>
        </w:rPr>
        <w:t>T</w:t>
      </w:r>
      <w:r w:rsidRPr="007334FE">
        <w:rPr>
          <w:b/>
          <w:color w:val="000000"/>
          <w:szCs w:val="24"/>
        </w:rPr>
        <w:t xml:space="preserve">: Frege’s dilemma  </w:t>
      </w:r>
    </w:p>
    <w:p w14:paraId="78DEA5D5" w14:textId="77777777" w:rsidR="007846E3" w:rsidRPr="00DA6F22" w:rsidRDefault="007846E3" w:rsidP="007846E3">
      <w:pPr>
        <w:jc w:val="both"/>
        <w:rPr>
          <w:b/>
        </w:rPr>
      </w:pPr>
    </w:p>
    <w:p w14:paraId="108CD564" w14:textId="77777777" w:rsidR="007846E3" w:rsidRDefault="007846E3" w:rsidP="007846E3">
      <w:pPr>
        <w:jc w:val="both"/>
      </w:pPr>
      <w:r w:rsidRPr="007334FE">
        <w:t xml:space="preserve">The </w:t>
      </w:r>
      <w:r>
        <w:t xml:space="preserve">epistemic </w:t>
      </w:r>
      <w:r w:rsidRPr="007334FE">
        <w:t>dilemma</w:t>
      </w:r>
      <w:r>
        <w:t xml:space="preserve"> that I shall discuss </w:t>
      </w:r>
      <w:r w:rsidRPr="007334FE">
        <w:t xml:space="preserve">applies especially to Axiom V, but it would equally apply to Hume’s Principle, if Frege were to select it as an axiom of </w:t>
      </w:r>
      <w:r>
        <w:t xml:space="preserve">a theory </w:t>
      </w:r>
      <w:r w:rsidRPr="007334FE">
        <w:rPr>
          <w:i/>
        </w:rPr>
        <w:t>T</w:t>
      </w:r>
      <w:r w:rsidRPr="007334FE">
        <w:t xml:space="preserve">, or to the choice of any other abstraction principle. </w:t>
      </w:r>
      <w:r>
        <w:t>Here is some preparatory information:</w:t>
      </w:r>
    </w:p>
    <w:p w14:paraId="05E31E4B" w14:textId="77777777" w:rsidR="007846E3" w:rsidRDefault="007846E3" w:rsidP="007846E3">
      <w:pPr>
        <w:jc w:val="both"/>
      </w:pPr>
    </w:p>
    <w:p w14:paraId="750DE93A" w14:textId="77777777" w:rsidR="007846E3" w:rsidRPr="0032350F" w:rsidRDefault="007846E3" w:rsidP="007846E3">
      <w:pPr>
        <w:jc w:val="both"/>
        <w:rPr>
          <w:b/>
        </w:rPr>
      </w:pPr>
      <w:r w:rsidRPr="007334FE">
        <w:t xml:space="preserve">I assume that according to Frege (a) the epistemic triviality of a thought goes hand in hand with its self-evidence, while (b) the converse does not hold generally. An axiom must be self-evident, but at the same time it should have real epistemic value or contain genuine knowledge. The foundation of a fruitful axiomatic theory cannot consist of sheer trivialities. </w:t>
      </w:r>
      <w:r w:rsidRPr="00117532">
        <w:t>(c) If in an equation of the form “</w:t>
      </w:r>
      <w:r w:rsidRPr="00117532">
        <w:rPr>
          <w:i/>
        </w:rPr>
        <w:t>a</w:t>
      </w:r>
      <w:r w:rsidRPr="00117532">
        <w:t xml:space="preserve"> = </w:t>
      </w:r>
      <w:r w:rsidRPr="00117532">
        <w:rPr>
          <w:i/>
        </w:rPr>
        <w:t>b</w:t>
      </w:r>
      <w:r w:rsidRPr="00117532">
        <w:t>” the expressions “</w:t>
      </w:r>
      <w:r w:rsidRPr="00117532">
        <w:rPr>
          <w:i/>
        </w:rPr>
        <w:t>a</w:t>
      </w:r>
      <w:r w:rsidRPr="00117532">
        <w:t>” and “</w:t>
      </w:r>
      <w:r w:rsidRPr="00117532">
        <w:rPr>
          <w:i/>
        </w:rPr>
        <w:t>b</w:t>
      </w:r>
      <w:r w:rsidRPr="00117532">
        <w:t>” not only refer to the same object, but also express the same sense, then “</w:t>
      </w:r>
      <w:r w:rsidRPr="00117532">
        <w:rPr>
          <w:i/>
        </w:rPr>
        <w:t>a</w:t>
      </w:r>
      <w:r w:rsidRPr="00117532">
        <w:t xml:space="preserve"> = </w:t>
      </w:r>
      <w:r w:rsidRPr="00117532">
        <w:rPr>
          <w:i/>
        </w:rPr>
        <w:t>b</w:t>
      </w:r>
      <w:r w:rsidRPr="00117532">
        <w:t>” is epistemically trivial.</w:t>
      </w:r>
      <w:r>
        <w:t xml:space="preserve"> </w:t>
      </w:r>
      <w:r w:rsidRPr="003A6D0A">
        <w:t>“</w:t>
      </w:r>
      <w:r w:rsidRPr="003A6D0A">
        <w:rPr>
          <w:i/>
        </w:rPr>
        <w:t>a</w:t>
      </w:r>
      <w:r w:rsidRPr="003A6D0A">
        <w:t xml:space="preserve"> = </w:t>
      </w:r>
      <w:r w:rsidRPr="003A6D0A">
        <w:rPr>
          <w:i/>
        </w:rPr>
        <w:t>b</w:t>
      </w:r>
      <w:r w:rsidRPr="003A6D0A">
        <w:t>” can be converted into an equation of the form “</w:t>
      </w:r>
      <w:r w:rsidRPr="003A6D0A">
        <w:rPr>
          <w:i/>
        </w:rPr>
        <w:t>a</w:t>
      </w:r>
      <w:r w:rsidRPr="003A6D0A">
        <w:t xml:space="preserve"> = </w:t>
      </w:r>
      <w:r w:rsidRPr="003A6D0A">
        <w:rPr>
          <w:i/>
        </w:rPr>
        <w:t>a</w:t>
      </w:r>
      <w:r w:rsidRPr="003A6D0A">
        <w:t>” without any change of sense; and such an equation is</w:t>
      </w:r>
      <w:r>
        <w:t xml:space="preserve"> undoubtedly trivial. It is, moreover,</w:t>
      </w:r>
      <w:r w:rsidRPr="003A6D0A">
        <w:t xml:space="preserve"> true by virtue of its form</w:t>
      </w:r>
      <w:r>
        <w:t xml:space="preserve"> and therefore </w:t>
      </w:r>
      <w:r w:rsidRPr="003A6D0A">
        <w:t>a truth of logic.</w:t>
      </w:r>
      <w:r>
        <w:t xml:space="preserve"> This is of course not </w:t>
      </w:r>
      <w:r w:rsidRPr="00117532">
        <w:t>to</w:t>
      </w:r>
      <w:r>
        <w:t xml:space="preserve"> say that any logical truth is trivial which, according to Frege, is clearly not the case. </w:t>
      </w:r>
      <w:r w:rsidRPr="007334FE">
        <w:t>(d) An equation of the form “</w:t>
      </w:r>
      <w:r w:rsidRPr="007334FE">
        <w:rPr>
          <w:i/>
        </w:rPr>
        <w:t>a</w:t>
      </w:r>
      <w:r w:rsidRPr="007334FE">
        <w:t xml:space="preserve"> = </w:t>
      </w:r>
      <w:r w:rsidRPr="007334FE">
        <w:rPr>
          <w:i/>
        </w:rPr>
        <w:t>b</w:t>
      </w:r>
      <w:r w:rsidRPr="007334FE">
        <w:t>” to which (c) applies, is, according to (a), self-evident. (e) The self-evidence of a true equation of the form “</w:t>
      </w:r>
      <w:r w:rsidRPr="007334FE">
        <w:rPr>
          <w:i/>
        </w:rPr>
        <w:t>a</w:t>
      </w:r>
      <w:r w:rsidRPr="007334FE">
        <w:t xml:space="preserve"> = </w:t>
      </w:r>
      <w:r w:rsidRPr="007334FE">
        <w:rPr>
          <w:i/>
        </w:rPr>
        <w:t>b</w:t>
      </w:r>
      <w:r w:rsidRPr="007334FE">
        <w:t>” implies that “</w:t>
      </w:r>
      <w:r w:rsidRPr="007334FE">
        <w:rPr>
          <w:i/>
        </w:rPr>
        <w:t>a</w:t>
      </w:r>
      <w:r w:rsidRPr="007334FE">
        <w:t>” and “</w:t>
      </w:r>
      <w:r w:rsidRPr="007334FE">
        <w:rPr>
          <w:i/>
        </w:rPr>
        <w:t>b</w:t>
      </w:r>
      <w:r w:rsidRPr="007334FE">
        <w:t>” express the same sense and, hence, according to (c) that “</w:t>
      </w:r>
      <w:r w:rsidRPr="007334FE">
        <w:rPr>
          <w:i/>
        </w:rPr>
        <w:t>a</w:t>
      </w:r>
      <w:r w:rsidRPr="007334FE">
        <w:t xml:space="preserve"> = </w:t>
      </w:r>
      <w:r w:rsidRPr="007334FE">
        <w:rPr>
          <w:i/>
        </w:rPr>
        <w:t>b</w:t>
      </w:r>
      <w:r w:rsidRPr="007334FE">
        <w:t>” is epistemically trivial. (f) If in a true equation of the form “</w:t>
      </w:r>
      <w:r w:rsidRPr="007334FE">
        <w:rPr>
          <w:i/>
        </w:rPr>
        <w:t>a</w:t>
      </w:r>
      <w:r w:rsidRPr="007334FE">
        <w:t xml:space="preserve"> = </w:t>
      </w:r>
      <w:r w:rsidRPr="007334FE">
        <w:rPr>
          <w:i/>
        </w:rPr>
        <w:t>b</w:t>
      </w:r>
      <w:r w:rsidRPr="007334FE">
        <w:t>” “</w:t>
      </w:r>
      <w:r w:rsidRPr="007334FE">
        <w:rPr>
          <w:i/>
        </w:rPr>
        <w:t>a</w:t>
      </w:r>
      <w:r w:rsidRPr="007334FE">
        <w:t>” and “</w:t>
      </w:r>
      <w:r w:rsidRPr="007334FE">
        <w:rPr>
          <w:i/>
        </w:rPr>
        <w:t>b</w:t>
      </w:r>
      <w:r w:rsidRPr="007334FE">
        <w:t>” express different senses, then “</w:t>
      </w:r>
      <w:r w:rsidRPr="007334FE">
        <w:rPr>
          <w:i/>
        </w:rPr>
        <w:t>a</w:t>
      </w:r>
      <w:r w:rsidRPr="007334FE">
        <w:t xml:space="preserve"> = </w:t>
      </w:r>
      <w:r w:rsidRPr="007334FE">
        <w:rPr>
          <w:i/>
        </w:rPr>
        <w:t>b</w:t>
      </w:r>
      <w:r w:rsidRPr="007334FE">
        <w:t>” is neither self-evident nor epistemically trivial.</w:t>
      </w:r>
    </w:p>
    <w:p w14:paraId="31B948F0" w14:textId="77777777" w:rsidR="007846E3" w:rsidRDefault="007846E3" w:rsidP="007846E3">
      <w:pPr>
        <w:jc w:val="both"/>
      </w:pPr>
    </w:p>
    <w:p w14:paraId="2C2FE433" w14:textId="77777777" w:rsidR="00844049" w:rsidRPr="0003075C" w:rsidRDefault="00844049"/>
    <w:sectPr w:rsidR="00844049" w:rsidRPr="0003075C">
      <w:headerReference w:type="even" r:id="rId12"/>
      <w:headerReference w:type="default" r:id="rId13"/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2FB6E" w14:textId="77777777" w:rsidR="00000000" w:rsidRDefault="007846E3">
      <w:r>
        <w:separator/>
      </w:r>
    </w:p>
  </w:endnote>
  <w:endnote w:type="continuationSeparator" w:id="0">
    <w:p w14:paraId="428A72D2" w14:textId="77777777" w:rsidR="00000000" w:rsidRDefault="0078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0785F" w14:textId="77777777" w:rsidR="00000000" w:rsidRDefault="007846E3">
      <w:r>
        <w:separator/>
      </w:r>
    </w:p>
  </w:footnote>
  <w:footnote w:type="continuationSeparator" w:id="0">
    <w:p w14:paraId="6B5BFC7E" w14:textId="77777777" w:rsidR="00000000" w:rsidRDefault="007846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7EF89" w14:textId="77777777" w:rsidR="00EA51C0" w:rsidRDefault="00142CF6" w:rsidP="00436FD3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9ED09AD" w14:textId="77777777" w:rsidR="00EA51C0" w:rsidRDefault="007846E3" w:rsidP="00436FD3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30402" w14:textId="77777777" w:rsidR="00EA51C0" w:rsidRDefault="00142CF6" w:rsidP="00436FD3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846E3">
      <w:rPr>
        <w:rStyle w:val="Seitenzahl"/>
        <w:noProof/>
      </w:rPr>
      <w:t>1</w:t>
    </w:r>
    <w:r>
      <w:rPr>
        <w:rStyle w:val="Seitenzahl"/>
      </w:rPr>
      <w:fldChar w:fldCharType="end"/>
    </w:r>
  </w:p>
  <w:p w14:paraId="43AD9E76" w14:textId="77777777" w:rsidR="00EA51C0" w:rsidRDefault="007846E3" w:rsidP="00436FD3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31003"/>
    <w:multiLevelType w:val="hybridMultilevel"/>
    <w:tmpl w:val="E6F84950"/>
    <w:lvl w:ilvl="0" w:tplc="38FED604">
      <w:start w:val="1"/>
      <w:numFmt w:val="decimal"/>
      <w:lvlText w:val="(%1)"/>
      <w:lvlJc w:val="left"/>
      <w:pPr>
        <w:ind w:left="10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F6"/>
    <w:rsid w:val="0003075C"/>
    <w:rsid w:val="00042577"/>
    <w:rsid w:val="00142CF6"/>
    <w:rsid w:val="007846E3"/>
    <w:rsid w:val="0084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58E75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2CF6"/>
    <w:rPr>
      <w:rFonts w:ascii="Times" w:eastAsia="Times New Roman" w:hAnsi="Times" w:cs="Times New Roman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rsid w:val="00142CF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142CF6"/>
    <w:rPr>
      <w:rFonts w:ascii="Times" w:eastAsia="Times New Roman" w:hAnsi="Times" w:cs="Times New Roman"/>
      <w:szCs w:val="20"/>
    </w:rPr>
  </w:style>
  <w:style w:type="character" w:styleId="Seitenzahl">
    <w:name w:val="page number"/>
    <w:basedOn w:val="Absatzstandardschriftart"/>
    <w:rsid w:val="00142CF6"/>
  </w:style>
  <w:style w:type="paragraph" w:styleId="Listenabsatz">
    <w:name w:val="List Paragraph"/>
    <w:basedOn w:val="Standard"/>
    <w:uiPriority w:val="34"/>
    <w:qFormat/>
    <w:rsid w:val="00142CF6"/>
    <w:pPr>
      <w:ind w:left="720"/>
      <w:contextualSpacing/>
    </w:pPr>
  </w:style>
  <w:style w:type="paragraph" w:styleId="Funotentext">
    <w:name w:val="footnote text"/>
    <w:basedOn w:val="Standard"/>
    <w:link w:val="FunotentextZeichen"/>
    <w:rsid w:val="007846E3"/>
    <w:pPr>
      <w:spacing w:before="40" w:line="260" w:lineRule="exact"/>
      <w:jc w:val="both"/>
    </w:pPr>
    <w:rPr>
      <w:lang w:val="en-GB"/>
    </w:rPr>
  </w:style>
  <w:style w:type="character" w:customStyle="1" w:styleId="FunotentextZeichen">
    <w:name w:val="Fußnotentext Zeichen"/>
    <w:basedOn w:val="Absatzstandardschriftart"/>
    <w:link w:val="Funotentext"/>
    <w:rsid w:val="007846E3"/>
    <w:rPr>
      <w:rFonts w:ascii="Times" w:eastAsia="Times New Roman" w:hAnsi="Times" w:cs="Times New Roman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2CF6"/>
    <w:rPr>
      <w:rFonts w:ascii="Times" w:eastAsia="Times New Roman" w:hAnsi="Times" w:cs="Times New Roman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rsid w:val="00142CF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142CF6"/>
    <w:rPr>
      <w:rFonts w:ascii="Times" w:eastAsia="Times New Roman" w:hAnsi="Times" w:cs="Times New Roman"/>
      <w:szCs w:val="20"/>
    </w:rPr>
  </w:style>
  <w:style w:type="character" w:styleId="Seitenzahl">
    <w:name w:val="page number"/>
    <w:basedOn w:val="Absatzstandardschriftart"/>
    <w:rsid w:val="00142CF6"/>
  </w:style>
  <w:style w:type="paragraph" w:styleId="Listenabsatz">
    <w:name w:val="List Paragraph"/>
    <w:basedOn w:val="Standard"/>
    <w:uiPriority w:val="34"/>
    <w:qFormat/>
    <w:rsid w:val="00142CF6"/>
    <w:pPr>
      <w:ind w:left="720"/>
      <w:contextualSpacing/>
    </w:pPr>
  </w:style>
  <w:style w:type="paragraph" w:styleId="Funotentext">
    <w:name w:val="footnote text"/>
    <w:basedOn w:val="Standard"/>
    <w:link w:val="FunotentextZeichen"/>
    <w:rsid w:val="007846E3"/>
    <w:pPr>
      <w:spacing w:before="40" w:line="260" w:lineRule="exact"/>
      <w:jc w:val="both"/>
    </w:pPr>
    <w:rPr>
      <w:lang w:val="en-GB"/>
    </w:rPr>
  </w:style>
  <w:style w:type="character" w:customStyle="1" w:styleId="FunotentextZeichen">
    <w:name w:val="Fußnotentext Zeichen"/>
    <w:basedOn w:val="Absatzstandardschriftart"/>
    <w:link w:val="Funotentext"/>
    <w:rsid w:val="007846E3"/>
    <w:rPr>
      <w:rFonts w:ascii="Times" w:eastAsia="Times New Roman" w:hAnsi="Times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Microsoft_Formel-Editor2.bin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oleObject" Target="embeddings/Microsoft_Formel-Editor1.bin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4624</Characters>
  <Application>Microsoft Macintosh Word</Application>
  <DocSecurity>0</DocSecurity>
  <Lines>38</Lines>
  <Paragraphs>10</Paragraphs>
  <ScaleCrop>false</ScaleCrop>
  <Company>LMU</Company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Schirn</dc:creator>
  <cp:keywords/>
  <dc:description/>
  <cp:lastModifiedBy>Matthias Schirn</cp:lastModifiedBy>
  <cp:revision>2</cp:revision>
  <dcterms:created xsi:type="dcterms:W3CDTF">2017-09-29T15:22:00Z</dcterms:created>
  <dcterms:modified xsi:type="dcterms:W3CDTF">2017-09-29T15:33:00Z</dcterms:modified>
</cp:coreProperties>
</file>